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A4D" w:rsidRPr="00DB0A4D" w:rsidRDefault="00DB0A4D" w:rsidP="00DB0A4D">
      <w:pPr>
        <w:spacing w:before="250" w:after="225" w:line="240" w:lineRule="auto"/>
        <w:outlineLvl w:val="0"/>
        <w:rPr>
          <w:rFonts w:ascii="Arial" w:eastAsia="Times New Roman" w:hAnsi="Arial" w:cs="Arial"/>
          <w:b/>
          <w:bCs/>
          <w:caps/>
          <w:color w:val="383838"/>
          <w:kern w:val="36"/>
          <w:sz w:val="48"/>
          <w:szCs w:val="48"/>
          <w:lang w:eastAsia="ru-RU"/>
        </w:rPr>
      </w:pPr>
      <w:r w:rsidRPr="00DB0A4D">
        <w:rPr>
          <w:rFonts w:ascii="Arial" w:eastAsia="Times New Roman" w:hAnsi="Arial" w:cs="Arial"/>
          <w:b/>
          <w:bCs/>
          <w:caps/>
          <w:color w:val="383838"/>
          <w:kern w:val="36"/>
          <w:sz w:val="48"/>
          <w:szCs w:val="48"/>
          <w:lang w:eastAsia="ru-RU"/>
        </w:rPr>
        <w:t>Случаи для обращения</w:t>
      </w:r>
    </w:p>
    <w:p w:rsidR="00DB0A4D" w:rsidRPr="00DB0A4D" w:rsidRDefault="00DB0A4D" w:rsidP="00DB0A4D">
      <w:pPr>
        <w:spacing w:before="100" w:beforeAutospacing="1" w:after="188" w:line="240" w:lineRule="auto"/>
        <w:jc w:val="center"/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83838"/>
          <w:sz w:val="20"/>
          <w:szCs w:val="20"/>
          <w:lang w:eastAsia="ru-RU"/>
        </w:rPr>
        <w:drawing>
          <wp:inline distT="0" distB="0" distL="0" distR="0">
            <wp:extent cx="6094146" cy="1708376"/>
            <wp:effectExtent l="19050" t="0" r="1854" b="0"/>
            <wp:docPr id="1" name="Рисунок 1" descr="free-ur-hel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-ur-hel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44" cy="1708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A4D" w:rsidRPr="00DB0A4D" w:rsidRDefault="00DB0A4D" w:rsidP="00DB0A4D">
      <w:pPr>
        <w:spacing w:before="100" w:beforeAutospacing="1" w:after="188" w:line="240" w:lineRule="auto"/>
        <w:jc w:val="center"/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</w:pPr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Государственные юридические бюро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характера. </w:t>
      </w:r>
    </w:p>
    <w:p w:rsidR="00DB0A4D" w:rsidRPr="00DB0A4D" w:rsidRDefault="00DB0A4D" w:rsidP="00DB0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</w:p>
    <w:p w:rsidR="00DB0A4D" w:rsidRPr="00DB0A4D" w:rsidRDefault="00DB0A4D" w:rsidP="00DB0A4D">
      <w:pPr>
        <w:spacing w:before="100" w:beforeAutospacing="1" w:after="188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proofErr w:type="gramStart"/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u w:val="single"/>
          <w:lang w:eastAsia="ru-RU"/>
        </w:rPr>
        <w:t>Случаи обращения за бесплатной юридической помощью предусмотрены во второй части статьи 20 Федерального закона № 324 «О бесплатной юридической помощи в Российской Федерации», это: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1)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 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</w:t>
      </w:r>
      <w:proofErr w:type="gramEnd"/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);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proofErr w:type="gramStart"/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2)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 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</w:t>
      </w:r>
      <w:proofErr w:type="gramEnd"/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 xml:space="preserve">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proofErr w:type="gramStart"/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3)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 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4)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 защита прав потребителей (в части предоставления коммунальных услуг);</w:t>
      </w:r>
      <w:proofErr w:type="gramEnd"/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5)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 отказ работодателя в заключени</w:t>
      </w:r>
      <w:proofErr w:type="gramStart"/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и</w:t>
      </w:r>
      <w:proofErr w:type="gramEnd"/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 xml:space="preserve">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6)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 признание гражданина безработным и установление пособия по безработице;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7)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 xml:space="preserve"> возмещение вреда, причиненного смертью кормильца, увечьем или иным повреждением 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lastRenderedPageBreak/>
        <w:t>здоровья, связанным с трудовой деятельностью или с чрезвычайной ситуацией;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8)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 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proofErr w:type="gramStart"/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9)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 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10)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 установление и оспаривание отцовства (материнства), взыскание алиментов;</w:t>
      </w:r>
      <w:proofErr w:type="gramEnd"/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proofErr w:type="gramStart"/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10.1)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 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10.2) 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родителей;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11)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 реабилитация граждан, пострадавших от политических репрессий;</w:t>
      </w:r>
      <w:proofErr w:type="gramEnd"/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proofErr w:type="gramStart"/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12)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 ограничение дееспособности;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13)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 обжалование нарушений прав и свобод граждан при оказании психиатрической помощи;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14) 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медико-социальная экспертиза и реабилитация инвалидов;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15)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 обжалование во внесудебном порядке актов органов государственной власти, органов местного самоуправления и должностных лиц;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16)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 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  <w:proofErr w:type="gramEnd"/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proofErr w:type="gramStart"/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17)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 обеспечение денежным довольствием военнослужащих и предоставление им отдельных выплат в соответствии с Федеральным законом от 7 ноября 2011 года N 306-ФЗ "О денежном довольствии военнослужащих и предоставлении им отдельных выплат";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18)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 предоставление льгот, социальных гарантий и компенсаций лицам, указанным в пунктах 3.1 и 3.2 части 1 настоящей статьи;</w:t>
      </w:r>
      <w:proofErr w:type="gramEnd"/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proofErr w:type="gramStart"/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19)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 предоставление льгот, социальных гарантий и компенсаций лицам, указанным в пункте 3.3 части 1 настоящей статьи;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20)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 признание гражданина из числа лиц, указанных в пунктах 3.1 и 3.2 части 1 настоящей статьи (за исключением членов их семей), безвестно отсутствующим;</w:t>
      </w:r>
      <w:proofErr w:type="gramEnd"/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21)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 объявление гражданина из числа лиц, указанных в пунктах 3.1 и 3.2 части 1 настоящей статьи (за исключением членов их семей), умершим.</w:t>
      </w:r>
    </w:p>
    <w:p w:rsidR="00DB0A4D" w:rsidRPr="00DB0A4D" w:rsidRDefault="00DB0A4D" w:rsidP="00DB0A4D">
      <w:pPr>
        <w:spacing w:before="100" w:beforeAutospacing="1" w:after="188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DB0A4D">
        <w:rPr>
          <w:rFonts w:ascii="Arial" w:eastAsia="Times New Roman" w:hAnsi="Arial" w:cs="Arial"/>
          <w:i/>
          <w:iCs/>
          <w:color w:val="383838"/>
          <w:sz w:val="20"/>
          <w:szCs w:val="20"/>
          <w:lang w:eastAsia="ru-RU"/>
        </w:rPr>
        <w:t>действие п. 17 - 21 распространяется на правоотношения, возникшие с 24.02.2022</w:t>
      </w:r>
    </w:p>
    <w:p w:rsidR="00DB0A4D" w:rsidRDefault="00DB0A4D" w:rsidP="00DB0A4D">
      <w:pPr>
        <w:spacing w:before="100" w:beforeAutospacing="1" w:after="188" w:line="240" w:lineRule="auto"/>
        <w:jc w:val="center"/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</w:pPr>
    </w:p>
    <w:p w:rsidR="00DB0A4D" w:rsidRDefault="00DB0A4D" w:rsidP="00DB0A4D">
      <w:pPr>
        <w:spacing w:before="100" w:beforeAutospacing="1" w:after="188" w:line="240" w:lineRule="auto"/>
        <w:jc w:val="center"/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</w:pPr>
    </w:p>
    <w:p w:rsidR="00DB0A4D" w:rsidRDefault="00DB0A4D" w:rsidP="00DB0A4D">
      <w:pPr>
        <w:spacing w:before="100" w:beforeAutospacing="1" w:after="188" w:line="240" w:lineRule="auto"/>
        <w:jc w:val="center"/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</w:pPr>
    </w:p>
    <w:p w:rsidR="00DB0A4D" w:rsidRDefault="00DB0A4D" w:rsidP="00DB0A4D">
      <w:pPr>
        <w:spacing w:before="100" w:beforeAutospacing="1" w:after="188" w:line="240" w:lineRule="auto"/>
        <w:jc w:val="center"/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</w:pPr>
    </w:p>
    <w:p w:rsidR="00DB0A4D" w:rsidRPr="00DB0A4D" w:rsidRDefault="00DB0A4D" w:rsidP="00DB0A4D">
      <w:pPr>
        <w:spacing w:before="100" w:beforeAutospacing="1" w:after="188" w:line="240" w:lineRule="auto"/>
        <w:jc w:val="center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proofErr w:type="gramStart"/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lastRenderedPageBreak/>
        <w:t>Кроме перечисленного выше государственное юридическое бюро оказывают все виды бесплатной юридической помощи гражданам, которым право на получение бесплатной юридической помощи дополнительно предоставлено региональным законодательством</w:t>
      </w:r>
      <w:proofErr w:type="gramEnd"/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 xml:space="preserve"> - областным законом Ленинградской области от 18.04.2012 N 29-оз "О гарантиях реализации права граждан на получение бесплатной юридической помощи на территории Ленинградской области"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:</w:t>
      </w:r>
    </w:p>
    <w:p w:rsidR="00DB0A4D" w:rsidRPr="00DB0A4D" w:rsidRDefault="00DB0A4D" w:rsidP="00DB0A4D">
      <w:pPr>
        <w:spacing w:before="100" w:beforeAutospacing="1" w:after="188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1)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 обращения по вопросам приватизации недвижимого имущества, заключения, изменения, расторжения, признания недействительными сделок с недвижимым имуществом, государственной регистрации прав на недвижимое имущество и сделок с ним (в случае, если жилое помещение или земельный участок под жилым домом находится на территории Ленинградской области, независимо от владения гражданином иным недвижимым имуществом);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2) 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обращения по вопросам, связанным с обеспечением и защитой прав и законных интересов своего (своих) ребенка (детей);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3)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 обращения по вопросам лишения, ограничения родительских прав;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proofErr w:type="gramStart"/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4)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 обращения по вопросам защиты прав пострадавших участников долевого строительства (для категории граждан, признанных пострадавшими участниками долевого строительства в соответствии с областным законом от 27 декабря 2013 года N 107-оз "О поддержке пострадавших участников долевого строительства многоквартирных домов, расположенных на территории Ленинградской области");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5)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 обращения по вопросам, связанным с защитой прав и законных интересов, предусмотренных трудовым законодательством;</w:t>
      </w:r>
      <w:proofErr w:type="gramEnd"/>
    </w:p>
    <w:p w:rsidR="00DB0A4D" w:rsidRPr="00DB0A4D" w:rsidRDefault="00DB0A4D" w:rsidP="00DB0A4D">
      <w:pPr>
        <w:spacing w:before="100" w:beforeAutospacing="1" w:after="188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6)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 обращения по вопросам, связанным с защитой прав потребителей при оказании услуг (выполнении работ) по управлению многоквартирным домом, содержанию и текущему ремонту общего имущества в многоквартирном доме, а также при исполнении гражданско-правовых договоров;</w:t>
      </w:r>
    </w:p>
    <w:p w:rsidR="00DB0A4D" w:rsidRPr="00DB0A4D" w:rsidRDefault="00DB0A4D" w:rsidP="00DB0A4D">
      <w:pPr>
        <w:spacing w:before="100" w:beforeAutospacing="1" w:after="188" w:line="240" w:lineRule="auto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7)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 обращения по вопросу установления факта проживания на территории Ленинградской   области   (для   категории   граждан,   указанной   в   части   2.1 статьи 3);</w:t>
      </w:r>
    </w:p>
    <w:p w:rsidR="00DB0A4D" w:rsidRPr="00DB0A4D" w:rsidRDefault="00DB0A4D" w:rsidP="00DB0A4D">
      <w:pPr>
        <w:spacing w:before="100" w:beforeAutospacing="1" w:after="188" w:line="240" w:lineRule="auto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DB0A4D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8)</w:t>
      </w:r>
      <w:r w:rsidRPr="00DB0A4D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 обращения по вопросу признания гражданина банкротом.</w:t>
      </w:r>
    </w:p>
    <w:p w:rsidR="002D7CB4" w:rsidRDefault="002D7CB4"/>
    <w:sectPr w:rsidR="002D7CB4" w:rsidSect="002D7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0A4D"/>
    <w:rsid w:val="002D7CB4"/>
    <w:rsid w:val="00DB0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B4"/>
  </w:style>
  <w:style w:type="paragraph" w:styleId="1">
    <w:name w:val="heading 1"/>
    <w:basedOn w:val="a"/>
    <w:link w:val="10"/>
    <w:uiPriority w:val="9"/>
    <w:qFormat/>
    <w:rsid w:val="00DB0A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A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B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0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0A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1062</Words>
  <Characters>6055</Characters>
  <Application>Microsoft Office Word</Application>
  <DocSecurity>0</DocSecurity>
  <Lines>50</Lines>
  <Paragraphs>14</Paragraphs>
  <ScaleCrop>false</ScaleCrop>
  <Company>diakov.net</Company>
  <LinksUpToDate>false</LinksUpToDate>
  <CharactersWithSpaces>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2025-04-10T08:05:00Z</dcterms:created>
  <dcterms:modified xsi:type="dcterms:W3CDTF">2025-04-10T08:06:00Z</dcterms:modified>
</cp:coreProperties>
</file>